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3A" w:rsidRDefault="00D81849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  <w:r>
        <w:rPr>
          <w:rFonts w:ascii="Tahoma" w:hAnsi="Tahoma" w:cs="Arial"/>
          <w:color w:val="FF0000"/>
        </w:rPr>
        <w:t xml:space="preserve"> </w:t>
      </w:r>
    </w:p>
    <w:p w:rsidR="00FE4E3A" w:rsidRDefault="00FE4E3A" w:rsidP="00FE4E3A">
      <w:pPr>
        <w:pStyle w:val="Standard"/>
        <w:tabs>
          <w:tab w:val="right" w:pos="15285"/>
        </w:tabs>
        <w:jc w:val="center"/>
        <w:rPr>
          <w:rFonts w:ascii="Tahoma" w:hAnsi="Tahoma" w:cs="Arial"/>
          <w:color w:val="FF0000"/>
        </w:rPr>
      </w:pPr>
      <w:r>
        <w:rPr>
          <w:noProof/>
          <w:lang w:eastAsia="fr-FR"/>
        </w:rPr>
        <w:drawing>
          <wp:inline distT="0" distB="0" distL="0" distR="0">
            <wp:extent cx="1304925" cy="752475"/>
            <wp:effectExtent l="0" t="0" r="9525" b="9525"/>
            <wp:docPr id="1" name="Image 1" descr="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RF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FE4E3A" w:rsidRDefault="00FE4E3A" w:rsidP="00FE4E3A">
      <w:pPr>
        <w:pStyle w:val="Standard"/>
        <w:tabs>
          <w:tab w:val="right" w:pos="15285"/>
        </w:tabs>
        <w:jc w:val="center"/>
        <w:rPr>
          <w:rFonts w:ascii="Tahoma" w:hAnsi="Tahoma" w:cs="Arial"/>
          <w:color w:val="FF0000"/>
        </w:rPr>
      </w:pPr>
      <w:r>
        <w:t>MINISTERE DES ARMEES</w:t>
      </w: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FE4E3A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</w:p>
    <w:p w:rsidR="00067D3F" w:rsidRDefault="00FE4E3A">
      <w:pPr>
        <w:pStyle w:val="Standard"/>
        <w:tabs>
          <w:tab w:val="right" w:pos="15285"/>
        </w:tabs>
        <w:rPr>
          <w:rFonts w:ascii="Tahoma" w:hAnsi="Tahoma" w:cs="Arial"/>
          <w:color w:val="FF0000"/>
        </w:rPr>
      </w:pPr>
      <w:r>
        <w:rPr>
          <w:rFonts w:ascii="Tahoma" w:hAnsi="Tahoma" w:cs="Tahoma"/>
          <w:color w:val="000000"/>
          <w:sz w:val="18"/>
        </w:rPr>
        <w:tab/>
        <w:t xml:space="preserve">N° de consultation : </w:t>
      </w:r>
      <w:r w:rsidRPr="00F0720A">
        <w:rPr>
          <w:rFonts w:ascii="Tahoma" w:hAnsi="Tahoma" w:cs="Tahoma"/>
          <w:b/>
          <w:color w:val="000000"/>
          <w:sz w:val="18"/>
        </w:rPr>
        <w:t>CCP2</w:t>
      </w:r>
      <w:r w:rsidR="007F6A77">
        <w:rPr>
          <w:rFonts w:ascii="Tahoma" w:hAnsi="Tahoma" w:cs="Tahoma"/>
          <w:b/>
          <w:color w:val="000000"/>
          <w:sz w:val="18"/>
        </w:rPr>
        <w:t>5-006</w:t>
      </w:r>
    </w:p>
    <w:p w:rsidR="00067D3F" w:rsidRDefault="00FE4E3A">
      <w:pPr>
        <w:pStyle w:val="Standard"/>
        <w:tabs>
          <w:tab w:val="right" w:pos="15300"/>
        </w:tabs>
        <w:rPr>
          <w:rFonts w:ascii="Tahoma" w:hAnsi="Tahoma" w:cs="Arial"/>
          <w:sz w:val="22"/>
          <w:szCs w:val="22"/>
        </w:rPr>
      </w:pPr>
      <w:r>
        <w:rPr>
          <w:rFonts w:ascii="Tahoma" w:hAnsi="Tahoma" w:cs="Arial"/>
          <w:sz w:val="18"/>
          <w:szCs w:val="18"/>
        </w:rPr>
        <w:tab/>
      </w:r>
    </w:p>
    <w:p w:rsidR="00067D3F" w:rsidRPr="007F6A77" w:rsidRDefault="007F6A77" w:rsidP="007F6A77">
      <w:pPr>
        <w:pStyle w:val="Standard"/>
        <w:tabs>
          <w:tab w:val="center" w:pos="7852"/>
          <w:tab w:val="left" w:pos="14808"/>
        </w:tabs>
        <w:spacing w:before="1134" w:after="113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6920DA" w:rsidRPr="007F6A77">
        <w:rPr>
          <w:rFonts w:ascii="Arial" w:hAnsi="Arial" w:cs="Arial"/>
          <w:b/>
          <w:sz w:val="22"/>
          <w:szCs w:val="22"/>
        </w:rPr>
        <w:t>CADRE DE REPONSE AU MEMOIRE METHODOLOGIQUE ET TECHNIQUE</w:t>
      </w:r>
      <w:r>
        <w:rPr>
          <w:rFonts w:ascii="Arial" w:hAnsi="Arial" w:cs="Arial"/>
          <w:b/>
          <w:sz w:val="22"/>
          <w:szCs w:val="22"/>
        </w:rPr>
        <w:tab/>
      </w:r>
      <w:bookmarkStart w:id="0" w:name="_GoBack"/>
      <w:bookmarkEnd w:id="0"/>
    </w:p>
    <w:p w:rsidR="00A00831" w:rsidRPr="007F6A77" w:rsidRDefault="00B6109B">
      <w:pPr>
        <w:pStyle w:val="Titre4"/>
        <w:spacing w:before="567" w:after="1134" w:line="480" w:lineRule="exact"/>
        <w:ind w:left="964" w:right="624" w:firstLine="57"/>
        <w:jc w:val="center"/>
        <w:rPr>
          <w:bCs/>
          <w:sz w:val="22"/>
          <w:szCs w:val="22"/>
        </w:rPr>
      </w:pPr>
      <w:r w:rsidRPr="007F6A77">
        <w:rPr>
          <w:rFonts w:eastAsia="Calibri"/>
          <w:bCs/>
          <w:caps/>
          <w:smallCaps/>
          <w:kern w:val="0"/>
          <w:sz w:val="22"/>
          <w:szCs w:val="22"/>
          <w:lang w:eastAsia="en-US"/>
        </w:rPr>
        <w:t>MARCHE RELATIF AUX PRESTATIONS D’ACCUEIL SECURITAIRE, DE FILTRAGE, DE GARDIENNAGE AU PROFIT DU POLE AERONAUTIQUE ETATIQUE (PAE) AU LAMENTIN ET DU MORNE DESAIX A FORT DE FRANCE</w:t>
      </w:r>
    </w:p>
    <w:p w:rsidR="00067D3F" w:rsidRPr="007F6A77" w:rsidRDefault="006920DA">
      <w:pPr>
        <w:pStyle w:val="Titre4"/>
        <w:spacing w:before="567" w:after="1134" w:line="480" w:lineRule="exact"/>
        <w:ind w:left="964" w:right="624" w:firstLine="57"/>
        <w:jc w:val="center"/>
        <w:rPr>
          <w:bCs/>
          <w:sz w:val="22"/>
          <w:szCs w:val="22"/>
        </w:rPr>
      </w:pPr>
      <w:r w:rsidRPr="007F6A77">
        <w:rPr>
          <w:bCs/>
          <w:sz w:val="22"/>
          <w:szCs w:val="22"/>
        </w:rPr>
        <w:t>Soumissionnaire : ………………………………………………</w:t>
      </w:r>
      <w:proofErr w:type="gramStart"/>
      <w:r w:rsidRPr="007F6A77">
        <w:rPr>
          <w:bCs/>
          <w:sz w:val="22"/>
          <w:szCs w:val="22"/>
        </w:rPr>
        <w:t>…….</w:t>
      </w:r>
      <w:proofErr w:type="gramEnd"/>
      <w:r w:rsidRPr="007F6A77">
        <w:rPr>
          <w:bCs/>
          <w:sz w:val="22"/>
          <w:szCs w:val="22"/>
        </w:rPr>
        <w:t>………………</w:t>
      </w:r>
    </w:p>
    <w:p w:rsidR="00FE4E3A" w:rsidRDefault="006920D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13"/>
        <w:jc w:val="both"/>
        <w:rPr>
          <w:rFonts w:ascii="Tahoma" w:hAnsi="Tahoma" w:cs="Arial"/>
          <w:b/>
          <w:i/>
          <w:sz w:val="20"/>
          <w:szCs w:val="20"/>
        </w:rPr>
      </w:pPr>
      <w:r>
        <w:rPr>
          <w:rFonts w:ascii="Tahoma" w:hAnsi="Tahoma" w:cs="Arial"/>
          <w:b/>
          <w:i/>
          <w:sz w:val="20"/>
          <w:szCs w:val="20"/>
        </w:rPr>
        <w:t>L’utilisation de ce cadre de réponse est fortement conseillée.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</w:t>
      </w:r>
      <w:r w:rsidR="00F65133">
        <w:rPr>
          <w:rFonts w:ascii="Tahoma" w:hAnsi="Tahoma" w:cs="Arial"/>
          <w:b/>
          <w:i/>
          <w:sz w:val="20"/>
          <w:szCs w:val="20"/>
        </w:rPr>
        <w:t>ement des informations fournies</w:t>
      </w:r>
      <w:r>
        <w:rPr>
          <w:rFonts w:ascii="Tahoma" w:hAnsi="Tahoma" w:cs="Arial"/>
          <w:b/>
          <w:i/>
          <w:sz w:val="20"/>
          <w:szCs w:val="20"/>
        </w:rPr>
        <w:t>.</w:t>
      </w:r>
    </w:p>
    <w:p w:rsidR="00067D3F" w:rsidRPr="00FE4E3A" w:rsidRDefault="00FE4E3A" w:rsidP="00FE4E3A">
      <w:pPr>
        <w:tabs>
          <w:tab w:val="left" w:pos="945"/>
        </w:tabs>
        <w:rPr>
          <w:lang w:bidi="ar-SA"/>
        </w:rPr>
      </w:pPr>
      <w:r>
        <w:rPr>
          <w:lang w:bidi="ar-SA"/>
        </w:rPr>
        <w:tab/>
      </w:r>
    </w:p>
    <w:p w:rsidR="00210747" w:rsidRDefault="006920DA" w:rsidP="008E344A">
      <w:pPr>
        <w:pStyle w:val="En-tte"/>
        <w:tabs>
          <w:tab w:val="clear" w:pos="4536"/>
          <w:tab w:val="clear" w:pos="9072"/>
        </w:tabs>
        <w:spacing w:before="283"/>
        <w:jc w:val="both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lastRenderedPageBreak/>
        <w:t>Le présent document propose un cadre de réponse au mémoire technique qui servira de base à l’analyse des offres, chaque élément étant en relation avec un critère d’appréciation de l’offre. Le candidat peut joindre toute autre pièce qu’il juge nécessaire pour le jugement de son offre</w:t>
      </w:r>
      <w:r w:rsidR="00AF2113">
        <w:rPr>
          <w:rFonts w:ascii="Tahoma" w:hAnsi="Tahoma" w:cs="Arial"/>
          <w:sz w:val="20"/>
          <w:szCs w:val="20"/>
        </w:rPr>
        <w:t xml:space="preserve"> à savoir : </w:t>
      </w:r>
    </w:p>
    <w:p w:rsidR="00B6109B" w:rsidRDefault="00B6109B" w:rsidP="008E344A">
      <w:pPr>
        <w:pStyle w:val="En-tte"/>
        <w:tabs>
          <w:tab w:val="clear" w:pos="4536"/>
          <w:tab w:val="clear" w:pos="9072"/>
        </w:tabs>
        <w:spacing w:before="283"/>
        <w:jc w:val="both"/>
        <w:rPr>
          <w:rFonts w:ascii="Tahoma" w:hAnsi="Tahoma" w:cs="Arial"/>
          <w:sz w:val="20"/>
          <w:szCs w:val="20"/>
        </w:rPr>
      </w:pPr>
    </w:p>
    <w:tbl>
      <w:tblPr>
        <w:tblW w:w="1551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0"/>
        <w:gridCol w:w="8110"/>
      </w:tblGrid>
      <w:tr w:rsidR="00067D3F" w:rsidTr="008E344A">
        <w:trPr>
          <w:trHeight w:val="755"/>
          <w:tblHeader/>
        </w:trPr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ÉLÉMENTS A FOURNIR PAR LE SOUMISSIONNAIRE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067D3F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REPONSE DU CANDIDAT</w:t>
            </w:r>
          </w:p>
          <w:p w:rsidR="00067D3F" w:rsidRDefault="006920DA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(Compléter le document ou indiquer précisément, pour chaque élément à fournir, le document de référence ainsi que la page de référence)</w:t>
            </w:r>
          </w:p>
          <w:p w:rsidR="00067D3F" w:rsidRDefault="00067D3F">
            <w:pPr>
              <w:pStyle w:val="Standard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67D3F" w:rsidTr="0050089E">
        <w:trPr>
          <w:trHeight w:val="2786"/>
        </w:trPr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09B" w:rsidRPr="00552F7B" w:rsidRDefault="00B6109B" w:rsidP="00B6109B">
            <w:pPr>
              <w:pStyle w:val="Paragraphedeliste"/>
              <w:ind w:hanging="720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9E7E8F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Les noms et les qualifications professionnelles pertinentes des personnes physiques qui seront chargées de l’exécution des prestations concernant chaque lot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L’organisation, des moyens humains et matériels, affectés exclusivement à la réalisation de la prestation concernant chaque lot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Une proposition de planning sur (1) mois avec les plages horaires des agents ;</w:t>
            </w: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6109B" w:rsidRPr="00552F7B" w:rsidRDefault="00B6109B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Les moyens mis à disposition pour s’assurer des bonnes conditions de mise en œuvre de la prestation, de son organisation technique et de son suivi, du respect des</w:t>
            </w:r>
            <w:r w:rsidR="006D5009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conditions de travail des salariés ;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La tenue de travail des agents ;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La réactivité en cas d’urgence.</w:t>
            </w:r>
          </w:p>
          <w:p w:rsidR="006D5009" w:rsidRPr="00552F7B" w:rsidRDefault="006D5009" w:rsidP="00B6109B">
            <w:pPr>
              <w:pStyle w:val="Paragraphedeliste"/>
              <w:ind w:left="0" w:firstLine="198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6D5009" w:rsidRPr="00552F7B" w:rsidRDefault="006D5009" w:rsidP="006D5009">
            <w:pPr>
              <w:rPr>
                <w:rFonts w:ascii="Book Antiqua" w:hAnsi="Book Antiqua" w:cs="Tahoma"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Les dispositions pour assurer la continuité du service</w:t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  <w:u w:val="single"/>
              </w:rPr>
              <w:t> </w:t>
            </w:r>
          </w:p>
          <w:p w:rsidR="009E7E8F" w:rsidRPr="00552F7B" w:rsidRDefault="009E7E8F" w:rsidP="009E7E8F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9E7E8F" w:rsidRPr="00552F7B" w:rsidRDefault="006D5009" w:rsidP="009E7E8F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Le soumissionnaire présentera sa démarche en mettant clairement en évidence les dispositions prises en cas de grève, contraintes météorologiques, arrêt maladie, etc… ;</w:t>
            </w: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9E7E8F" w:rsidRDefault="009E7E8F" w:rsidP="009E7E8F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 w:rsidP="008E344A">
            <w:pPr>
              <w:pStyle w:val="Standard"/>
              <w:snapToGrid w:val="0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 préciser et à compléter</w:t>
            </w:r>
          </w:p>
        </w:tc>
      </w:tr>
      <w:tr w:rsidR="00067D3F" w:rsidTr="0050089E">
        <w:trPr>
          <w:trHeight w:val="5232"/>
        </w:trPr>
        <w:tc>
          <w:tcPr>
            <w:tcW w:w="7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D3F" w:rsidRDefault="00067D3F" w:rsidP="006D5009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6D5009" w:rsidRPr="00552F7B" w:rsidRDefault="006D5009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 xml:space="preserve">Les performances en matière de </w:t>
            </w:r>
            <w:proofErr w:type="spellStart"/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RSE</w:t>
            </w:r>
            <w:proofErr w:type="spellEnd"/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 xml:space="preserve">, développement durable, </w:t>
            </w:r>
            <w:r w:rsidR="00A56A16"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insertion.</w:t>
            </w:r>
          </w:p>
          <w:p w:rsidR="00BC1F05" w:rsidRPr="00552F7B" w:rsidRDefault="00BC1F05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BC1F05" w:rsidRPr="00552F7B" w:rsidRDefault="00BC1F05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Contribution de l’entreprise à la composante environnementale du développement durable (objectifs, stratégie, moyen d’action, …)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BC1F05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nombre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véhicules EURO6 constituant la flotte de la société pour la réalisation de la prestation demandée (norme européenne)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qualité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référence et des expériences acquises en matière de protection de l’environnement (certification, etc…) ;</w:t>
            </w: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A56A16" w:rsidRPr="00552F7B" w:rsidRDefault="00A56A16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mesures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pertinentes pour la gestion </w:t>
            </w:r>
            <w:proofErr w:type="spell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éco-responsable</w:t>
            </w:r>
            <w:proofErr w:type="spellEnd"/>
            <w:r w:rsidR="004C6571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(action, formation, démarche initiée, etc.) ;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Considérations sociales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personnel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en insertion ;</w:t>
            </w: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4C6571" w:rsidRPr="00552F7B" w:rsidRDefault="004C6571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proofErr w:type="gramStart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nombre</w:t>
            </w:r>
            <w:proofErr w:type="gramEnd"/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de personnels relevant des catégories de public</w:t>
            </w:r>
            <w:r w:rsidR="00552F7B"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 xml:space="preserve"> éloignés l’emploi susceptibles d’exécuter des fonctions en lien avec les prestations du marché public ;</w:t>
            </w: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  <w:r w:rsidRPr="00552F7B"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  <w:t>Actions</w:t>
            </w:r>
          </w:p>
          <w:p w:rsidR="00552F7B" w:rsidRP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b/>
                <w:color w:val="000000"/>
                <w:sz w:val="20"/>
                <w:szCs w:val="20"/>
                <w:u w:val="single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sym w:font="Wingdings" w:char="F0AB"/>
            </w:r>
            <w:r w:rsidRPr="00552F7B">
              <w:rPr>
                <w:rFonts w:ascii="Book Antiqua" w:hAnsi="Book Antiqua" w:cs="Tahoma"/>
                <w:color w:val="000000"/>
                <w:sz w:val="20"/>
                <w:szCs w:val="20"/>
              </w:rPr>
              <w:t>Moyens à disposition pour le suivi des actions sociales et environnementales</w:t>
            </w: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Default="00552F7B" w:rsidP="006D5009">
            <w:pPr>
              <w:pStyle w:val="Standard"/>
              <w:jc w:val="both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  <w:p w:rsidR="00552F7B" w:rsidRPr="00552F7B" w:rsidRDefault="00552F7B" w:rsidP="006D5009">
            <w:pPr>
              <w:pStyle w:val="Standard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D3F" w:rsidRDefault="006920DA" w:rsidP="008E344A">
            <w:pPr>
              <w:pStyle w:val="Standard"/>
              <w:snapToGrid w:val="0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 préciser et à compléter / f</w:t>
            </w:r>
            <w:r>
              <w:rPr>
                <w:rFonts w:ascii="Tahoma" w:hAnsi="Tahoma" w:cs="Tahoma"/>
                <w:b/>
                <w:bCs/>
                <w:i/>
                <w:sz w:val="16"/>
                <w:szCs w:val="16"/>
              </w:rPr>
              <w:t>ournir les fiches techniques</w:t>
            </w:r>
          </w:p>
        </w:tc>
      </w:tr>
    </w:tbl>
    <w:p w:rsidR="00067D3F" w:rsidRDefault="00067D3F">
      <w:pPr>
        <w:pStyle w:val="Standard"/>
        <w:rPr>
          <w:rFonts w:ascii="Tahoma" w:hAnsi="Tahoma"/>
        </w:rPr>
      </w:pPr>
    </w:p>
    <w:sectPr w:rsidR="00067D3F" w:rsidSect="008E344A">
      <w:footerReference w:type="default" r:id="rId8"/>
      <w:pgSz w:w="16838" w:h="11906" w:orient="landscape"/>
      <w:pgMar w:top="426" w:right="567" w:bottom="765" w:left="567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723" w:rsidRDefault="006920DA">
      <w:r>
        <w:separator/>
      </w:r>
    </w:p>
  </w:endnote>
  <w:endnote w:type="continuationSeparator" w:id="0">
    <w:p w:rsidR="000A3723" w:rsidRDefault="0069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DA4" w:rsidRDefault="006920DA">
    <w:pPr>
      <w:pStyle w:val="Pieddepage"/>
      <w:tabs>
        <w:tab w:val="clear" w:pos="4536"/>
        <w:tab w:val="clear" w:pos="9072"/>
        <w:tab w:val="center" w:pos="7965"/>
      </w:tabs>
      <w:ind w:right="360"/>
      <w:rPr>
        <w:rFonts w:ascii="Tahoma" w:hAnsi="Tahoma"/>
        <w:sz w:val="18"/>
        <w:szCs w:val="18"/>
      </w:rPr>
    </w:pP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FILENAME </w:instrText>
    </w:r>
    <w:r>
      <w:rPr>
        <w:rFonts w:ascii="Tahoma" w:hAnsi="Tahoma"/>
        <w:sz w:val="18"/>
        <w:szCs w:val="18"/>
      </w:rPr>
      <w:fldChar w:fldCharType="separate"/>
    </w:r>
    <w:r>
      <w:rPr>
        <w:rFonts w:ascii="Tahoma" w:hAnsi="Tahoma"/>
        <w:sz w:val="18"/>
        <w:szCs w:val="18"/>
      </w:rPr>
      <w:t>MMT_</w:t>
    </w:r>
    <w:r>
      <w:rPr>
        <w:rFonts w:ascii="Tahoma" w:hAnsi="Tahoma"/>
        <w:sz w:val="18"/>
        <w:szCs w:val="18"/>
      </w:rPr>
      <w:fldChar w:fldCharType="end"/>
    </w:r>
    <w:r w:rsidR="007F6A77">
      <w:rPr>
        <w:rFonts w:ascii="Tahoma" w:hAnsi="Tahoma"/>
        <w:sz w:val="18"/>
        <w:szCs w:val="18"/>
      </w:rPr>
      <w:t>25-006</w:t>
    </w:r>
    <w:r>
      <w:rPr>
        <w:rFonts w:ascii="Tahoma" w:hAnsi="Tahoma"/>
        <w:sz w:val="18"/>
        <w:szCs w:val="18"/>
      </w:rPr>
      <w:tab/>
    </w: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PAGE </w:instrText>
    </w:r>
    <w:r>
      <w:rPr>
        <w:rFonts w:ascii="Tahoma" w:hAnsi="Tahoma"/>
        <w:sz w:val="18"/>
        <w:szCs w:val="18"/>
      </w:rPr>
      <w:fldChar w:fldCharType="separate"/>
    </w:r>
    <w:r w:rsidR="007F6A77">
      <w:rPr>
        <w:rFonts w:ascii="Tahoma" w:hAnsi="Tahoma"/>
        <w:noProof/>
        <w:sz w:val="18"/>
        <w:szCs w:val="18"/>
      </w:rPr>
      <w:t>3</w:t>
    </w:r>
    <w:r>
      <w:rPr>
        <w:rFonts w:ascii="Tahoma" w:hAnsi="Tahoma"/>
        <w:sz w:val="18"/>
        <w:szCs w:val="18"/>
      </w:rPr>
      <w:fldChar w:fldCharType="end"/>
    </w:r>
    <w:r>
      <w:rPr>
        <w:rFonts w:ascii="Tahoma" w:hAnsi="Tahoma"/>
        <w:sz w:val="18"/>
        <w:szCs w:val="18"/>
      </w:rPr>
      <w:t>/</w:t>
    </w:r>
    <w:r>
      <w:rPr>
        <w:rFonts w:ascii="Tahoma" w:hAnsi="Tahoma"/>
        <w:sz w:val="18"/>
        <w:szCs w:val="18"/>
      </w:rPr>
      <w:fldChar w:fldCharType="begin"/>
    </w:r>
    <w:r>
      <w:rPr>
        <w:rFonts w:ascii="Tahoma" w:hAnsi="Tahoma"/>
        <w:sz w:val="18"/>
        <w:szCs w:val="18"/>
      </w:rPr>
      <w:instrText xml:space="preserve"> NUMPAGES </w:instrText>
    </w:r>
    <w:r>
      <w:rPr>
        <w:rFonts w:ascii="Tahoma" w:hAnsi="Tahoma"/>
        <w:sz w:val="18"/>
        <w:szCs w:val="18"/>
      </w:rPr>
      <w:fldChar w:fldCharType="separate"/>
    </w:r>
    <w:r w:rsidR="007F6A77">
      <w:rPr>
        <w:rFonts w:ascii="Tahoma" w:hAnsi="Tahoma"/>
        <w:noProof/>
        <w:sz w:val="18"/>
        <w:szCs w:val="18"/>
      </w:rPr>
      <w:t>3</w:t>
    </w:r>
    <w:r>
      <w:rPr>
        <w:rFonts w:ascii="Tahoma" w:hAnsi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723" w:rsidRDefault="006920DA">
      <w:r>
        <w:rPr>
          <w:color w:val="000000"/>
        </w:rPr>
        <w:separator/>
      </w:r>
    </w:p>
  </w:footnote>
  <w:footnote w:type="continuationSeparator" w:id="0">
    <w:p w:rsidR="000A3723" w:rsidRDefault="00692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pt;height:5.4pt" o:bullet="t">
        <v:imagedata r:id="rId1" o:title=""/>
      </v:shape>
    </w:pict>
  </w:numPicBullet>
  <w:abstractNum w:abstractNumId="0" w15:restartNumberingAfterBreak="0">
    <w:nsid w:val="06AE7319"/>
    <w:multiLevelType w:val="multilevel"/>
    <w:tmpl w:val="B6903B1E"/>
    <w:styleLink w:val="WW8Num6"/>
    <w:lvl w:ilvl="0">
      <w:numFmt w:val="bullet"/>
      <w:lvlText w:val=""/>
      <w:lvlJc w:val="left"/>
      <w:pPr>
        <w:ind w:left="270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0000EAD"/>
    <w:multiLevelType w:val="multilevel"/>
    <w:tmpl w:val="46105AD0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0692C70"/>
    <w:multiLevelType w:val="multilevel"/>
    <w:tmpl w:val="13B67132"/>
    <w:styleLink w:val="WW8Num5"/>
    <w:lvl w:ilvl="0">
      <w:start w:val="5"/>
      <w:numFmt w:val="decimal"/>
      <w:lvlText w:val="%1"/>
      <w:lvlJc w:val="left"/>
      <w:pPr>
        <w:ind w:left="990" w:hanging="990"/>
      </w:pPr>
    </w:lvl>
    <w:lvl w:ilvl="1">
      <w:start w:val="2"/>
      <w:numFmt w:val="decimal"/>
      <w:lvlText w:val="%1.%2"/>
      <w:lvlJc w:val="left"/>
      <w:pPr>
        <w:ind w:left="2405" w:hanging="990"/>
      </w:pPr>
    </w:lvl>
    <w:lvl w:ilvl="2">
      <w:start w:val="3"/>
      <w:numFmt w:val="decimal"/>
      <w:lvlText w:val="%1.%2.%3"/>
      <w:lvlJc w:val="left"/>
      <w:pPr>
        <w:ind w:left="3820" w:hanging="990"/>
      </w:pPr>
    </w:lvl>
    <w:lvl w:ilvl="3">
      <w:start w:val="1"/>
      <w:numFmt w:val="decimal"/>
      <w:lvlText w:val="%1.%2.%3.%4"/>
      <w:lvlJc w:val="left"/>
      <w:pPr>
        <w:ind w:left="5325" w:hanging="1080"/>
      </w:pPr>
    </w:lvl>
    <w:lvl w:ilvl="4">
      <w:start w:val="1"/>
      <w:numFmt w:val="decimal"/>
      <w:lvlText w:val="%1.%2.%3.%4.%5"/>
      <w:lvlJc w:val="left"/>
      <w:pPr>
        <w:ind w:left="6740" w:hanging="1080"/>
      </w:pPr>
    </w:lvl>
    <w:lvl w:ilvl="5">
      <w:start w:val="1"/>
      <w:numFmt w:val="decimal"/>
      <w:lvlText w:val="%1.%2.%3.%4.%5.%6"/>
      <w:lvlJc w:val="left"/>
      <w:pPr>
        <w:ind w:left="8515" w:hanging="1440"/>
      </w:pPr>
    </w:lvl>
    <w:lvl w:ilvl="6">
      <w:start w:val="1"/>
      <w:numFmt w:val="decimal"/>
      <w:lvlText w:val="%1.%2.%3.%4.%5.%6.%7"/>
      <w:lvlJc w:val="left"/>
      <w:pPr>
        <w:ind w:left="9930" w:hanging="1440"/>
      </w:pPr>
    </w:lvl>
    <w:lvl w:ilvl="7">
      <w:start w:val="1"/>
      <w:numFmt w:val="decimal"/>
      <w:lvlText w:val="%1.%2.%3.%4.%5.%6.%7.%8"/>
      <w:lvlJc w:val="left"/>
      <w:pPr>
        <w:ind w:left="11705" w:hanging="1800"/>
      </w:pPr>
    </w:lvl>
    <w:lvl w:ilvl="8">
      <w:start w:val="1"/>
      <w:numFmt w:val="decimal"/>
      <w:lvlText w:val="%1.%2.%3.%4.%5.%6.%7.%8.%9"/>
      <w:lvlJc w:val="left"/>
      <w:pPr>
        <w:ind w:left="13120" w:hanging="1800"/>
      </w:pPr>
    </w:lvl>
  </w:abstractNum>
  <w:abstractNum w:abstractNumId="3" w15:restartNumberingAfterBreak="0">
    <w:nsid w:val="17B24F4E"/>
    <w:multiLevelType w:val="multilevel"/>
    <w:tmpl w:val="6734CED0"/>
    <w:styleLink w:val="WW8Num17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A6A797A"/>
    <w:multiLevelType w:val="multilevel"/>
    <w:tmpl w:val="0E70378A"/>
    <w:styleLink w:val="WW8Num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3B04281"/>
    <w:multiLevelType w:val="multilevel"/>
    <w:tmpl w:val="2EF60730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6A2B6C"/>
    <w:multiLevelType w:val="multilevel"/>
    <w:tmpl w:val="037E33D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9892C45"/>
    <w:multiLevelType w:val="multilevel"/>
    <w:tmpl w:val="1AE87B02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2405" w:hanging="990"/>
      </w:pPr>
    </w:lvl>
    <w:lvl w:ilvl="2">
      <w:start w:val="3"/>
      <w:numFmt w:val="decimal"/>
      <w:lvlText w:val="%1.%2.%3"/>
      <w:lvlJc w:val="left"/>
      <w:pPr>
        <w:ind w:left="3820" w:hanging="990"/>
      </w:pPr>
    </w:lvl>
    <w:lvl w:ilvl="3">
      <w:start w:val="1"/>
      <w:numFmt w:val="decimal"/>
      <w:lvlText w:val="%1.%2.%3.%4"/>
      <w:lvlJc w:val="left"/>
      <w:pPr>
        <w:ind w:left="5325" w:hanging="1080"/>
      </w:pPr>
    </w:lvl>
    <w:lvl w:ilvl="4">
      <w:start w:val="1"/>
      <w:numFmt w:val="decimal"/>
      <w:lvlText w:val="%1.%2.%3.%4.%5"/>
      <w:lvlJc w:val="left"/>
      <w:pPr>
        <w:ind w:left="6740" w:hanging="1080"/>
      </w:pPr>
    </w:lvl>
    <w:lvl w:ilvl="5">
      <w:start w:val="1"/>
      <w:numFmt w:val="decimal"/>
      <w:lvlText w:val="%1.%2.%3.%4.%5.%6"/>
      <w:lvlJc w:val="left"/>
      <w:pPr>
        <w:ind w:left="8515" w:hanging="1440"/>
      </w:pPr>
    </w:lvl>
    <w:lvl w:ilvl="6">
      <w:start w:val="1"/>
      <w:numFmt w:val="decimal"/>
      <w:lvlText w:val="%1.%2.%3.%4.%5.%6.%7"/>
      <w:lvlJc w:val="left"/>
      <w:pPr>
        <w:ind w:left="9930" w:hanging="1440"/>
      </w:pPr>
    </w:lvl>
    <w:lvl w:ilvl="7">
      <w:start w:val="1"/>
      <w:numFmt w:val="decimal"/>
      <w:lvlText w:val="%1.%2.%3.%4.%5.%6.%7.%8"/>
      <w:lvlJc w:val="left"/>
      <w:pPr>
        <w:ind w:left="11705" w:hanging="1800"/>
      </w:pPr>
    </w:lvl>
    <w:lvl w:ilvl="8">
      <w:start w:val="1"/>
      <w:numFmt w:val="decimal"/>
      <w:lvlText w:val="%1.%2.%3.%4.%5.%6.%7.%8.%9"/>
      <w:lvlJc w:val="left"/>
      <w:pPr>
        <w:ind w:left="13120" w:hanging="1800"/>
      </w:pPr>
    </w:lvl>
  </w:abstractNum>
  <w:abstractNum w:abstractNumId="8" w15:restartNumberingAfterBreak="0">
    <w:nsid w:val="2AAB219D"/>
    <w:multiLevelType w:val="multilevel"/>
    <w:tmpl w:val="9A6A7BF4"/>
    <w:styleLink w:val="WW8Num14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34B26150"/>
    <w:multiLevelType w:val="multilevel"/>
    <w:tmpl w:val="E7F43F16"/>
    <w:styleLink w:val="WW8Num19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7E51D85"/>
    <w:multiLevelType w:val="multilevel"/>
    <w:tmpl w:val="64C086EA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1"/>
      </w:rPr>
    </w:lvl>
    <w:lvl w:ilvl="1">
      <w:numFmt w:val="bullet"/>
      <w:lvlText w:val=""/>
      <w:lvlPicBulletId w:val="0"/>
      <w:lvlJc w:val="left"/>
      <w:pPr>
        <w:ind w:left="1080" w:hanging="360"/>
      </w:pPr>
      <w:rPr>
        <w:rFonts w:hAnsi="Symbol" w:hint="default"/>
        <w:sz w:val="11"/>
      </w:rPr>
    </w:lvl>
    <w:lvl w:ilvl="2">
      <w:numFmt w:val="bullet"/>
      <w:lvlText w:val=""/>
      <w:lvlPicBulletId w:val="0"/>
      <w:lvlJc w:val="left"/>
      <w:pPr>
        <w:ind w:left="1440" w:hanging="360"/>
      </w:pPr>
      <w:rPr>
        <w:rFonts w:hAnsi="Symbol" w:hint="default"/>
        <w:sz w:val="11"/>
      </w:rPr>
    </w:lvl>
    <w:lvl w:ilvl="3">
      <w:numFmt w:val="bullet"/>
      <w:lvlText w:val=""/>
      <w:lvlPicBulletId w:val="0"/>
      <w:lvlJc w:val="left"/>
      <w:pPr>
        <w:ind w:left="1800" w:hanging="360"/>
      </w:pPr>
      <w:rPr>
        <w:rFonts w:hAnsi="Symbol" w:hint="default"/>
        <w:sz w:val="11"/>
      </w:rPr>
    </w:lvl>
    <w:lvl w:ilvl="4">
      <w:numFmt w:val="bullet"/>
      <w:lvlText w:val=""/>
      <w:lvlPicBulletId w:val="0"/>
      <w:lvlJc w:val="left"/>
      <w:pPr>
        <w:ind w:left="2160" w:hanging="360"/>
      </w:pPr>
      <w:rPr>
        <w:rFonts w:hAnsi="Symbol" w:hint="default"/>
        <w:sz w:val="11"/>
      </w:rPr>
    </w:lvl>
    <w:lvl w:ilvl="5">
      <w:numFmt w:val="bullet"/>
      <w:lvlText w:val=""/>
      <w:lvlPicBulletId w:val="0"/>
      <w:lvlJc w:val="left"/>
      <w:pPr>
        <w:ind w:left="2520" w:hanging="360"/>
      </w:pPr>
      <w:rPr>
        <w:rFonts w:hAnsi="Symbol" w:hint="default"/>
        <w:sz w:val="11"/>
      </w:rPr>
    </w:lvl>
    <w:lvl w:ilvl="6">
      <w:numFmt w:val="bullet"/>
      <w:lvlText w:val=""/>
      <w:lvlPicBulletId w:val="0"/>
      <w:lvlJc w:val="left"/>
      <w:pPr>
        <w:ind w:left="2880" w:hanging="360"/>
      </w:pPr>
      <w:rPr>
        <w:rFonts w:hAnsi="Symbol" w:hint="default"/>
        <w:sz w:val="11"/>
      </w:rPr>
    </w:lvl>
    <w:lvl w:ilvl="7">
      <w:numFmt w:val="bullet"/>
      <w:lvlText w:val=""/>
      <w:lvlPicBulletId w:val="0"/>
      <w:lvlJc w:val="left"/>
      <w:pPr>
        <w:ind w:left="3240" w:hanging="360"/>
      </w:pPr>
      <w:rPr>
        <w:rFonts w:hAnsi="Symbol" w:hint="default"/>
        <w:sz w:val="11"/>
      </w:rPr>
    </w:lvl>
    <w:lvl w:ilvl="8">
      <w:numFmt w:val="bullet"/>
      <w:lvlText w:val=""/>
      <w:lvlPicBulletId w:val="0"/>
      <w:lvlJc w:val="left"/>
      <w:pPr>
        <w:ind w:left="3600" w:hanging="360"/>
      </w:pPr>
      <w:rPr>
        <w:rFonts w:hAnsi="Symbol" w:hint="default"/>
        <w:sz w:val="11"/>
      </w:rPr>
    </w:lvl>
  </w:abstractNum>
  <w:abstractNum w:abstractNumId="11" w15:restartNumberingAfterBreak="0">
    <w:nsid w:val="383F1774"/>
    <w:multiLevelType w:val="multilevel"/>
    <w:tmpl w:val="08200D3A"/>
    <w:styleLink w:val="WW8Num10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390A775B"/>
    <w:multiLevelType w:val="multilevel"/>
    <w:tmpl w:val="58E0004E"/>
    <w:styleLink w:val="WW8Num1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47E02E89"/>
    <w:multiLevelType w:val="multilevel"/>
    <w:tmpl w:val="F2486274"/>
    <w:styleLink w:val="WW8Num3"/>
    <w:lvl w:ilvl="0">
      <w:numFmt w:val="bullet"/>
      <w:lvlText w:val=""/>
      <w:lvlJc w:val="left"/>
      <w:pPr>
        <w:ind w:left="10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481A57DB"/>
    <w:multiLevelType w:val="multilevel"/>
    <w:tmpl w:val="8E18B4B6"/>
    <w:styleLink w:val="WW8Num13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imes New Roman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4E2773C2"/>
    <w:multiLevelType w:val="multilevel"/>
    <w:tmpl w:val="568CA39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26162"/>
    <w:multiLevelType w:val="multilevel"/>
    <w:tmpl w:val="741A87CE"/>
    <w:styleLink w:val="WW8Num15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16"/>
        <w:szCs w:val="1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sz w:val="16"/>
        <w:szCs w:val="16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sz w:val="16"/>
        <w:szCs w:val="16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57B914F9"/>
    <w:multiLevelType w:val="multilevel"/>
    <w:tmpl w:val="A1A4BA14"/>
    <w:styleLink w:val="WW8Num20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8" w15:restartNumberingAfterBreak="0">
    <w:nsid w:val="68D327B5"/>
    <w:multiLevelType w:val="multilevel"/>
    <w:tmpl w:val="084A7FE8"/>
    <w:styleLink w:val="WW8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77D04A98"/>
    <w:multiLevelType w:val="multilevel"/>
    <w:tmpl w:val="01E64CD4"/>
    <w:styleLink w:val="WW8Num11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  <w:sz w:val="16"/>
        <w:szCs w:val="16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CAD50A0"/>
    <w:multiLevelType w:val="multilevel"/>
    <w:tmpl w:val="9D44E6B6"/>
    <w:styleLink w:val="WW8Num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A35D42"/>
    <w:multiLevelType w:val="multilevel"/>
    <w:tmpl w:val="D46A75C0"/>
    <w:styleLink w:val="WW8Num21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0"/>
  </w:num>
  <w:num w:numId="2">
    <w:abstractNumId w:val="7"/>
  </w:num>
  <w:num w:numId="3">
    <w:abstractNumId w:val="1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11"/>
  </w:num>
  <w:num w:numId="11">
    <w:abstractNumId w:val="19"/>
  </w:num>
  <w:num w:numId="12">
    <w:abstractNumId w:val="18"/>
  </w:num>
  <w:num w:numId="13">
    <w:abstractNumId w:val="14"/>
  </w:num>
  <w:num w:numId="14">
    <w:abstractNumId w:val="8"/>
  </w:num>
  <w:num w:numId="15">
    <w:abstractNumId w:val="16"/>
  </w:num>
  <w:num w:numId="16">
    <w:abstractNumId w:val="12"/>
  </w:num>
  <w:num w:numId="17">
    <w:abstractNumId w:val="3"/>
  </w:num>
  <w:num w:numId="18">
    <w:abstractNumId w:val="15"/>
  </w:num>
  <w:num w:numId="19">
    <w:abstractNumId w:val="9"/>
  </w:num>
  <w:num w:numId="20">
    <w:abstractNumId w:val="17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3F"/>
    <w:rsid w:val="00010E00"/>
    <w:rsid w:val="00067D3F"/>
    <w:rsid w:val="00097D69"/>
    <w:rsid w:val="000A3723"/>
    <w:rsid w:val="000C6F18"/>
    <w:rsid w:val="001301DF"/>
    <w:rsid w:val="001648A1"/>
    <w:rsid w:val="00210747"/>
    <w:rsid w:val="00392F9F"/>
    <w:rsid w:val="004C6571"/>
    <w:rsid w:val="004F75DC"/>
    <w:rsid w:val="0050089E"/>
    <w:rsid w:val="005247AD"/>
    <w:rsid w:val="00552F7B"/>
    <w:rsid w:val="006920DA"/>
    <w:rsid w:val="00695C75"/>
    <w:rsid w:val="006D5009"/>
    <w:rsid w:val="007F6A77"/>
    <w:rsid w:val="008D4420"/>
    <w:rsid w:val="008E344A"/>
    <w:rsid w:val="009E7E8F"/>
    <w:rsid w:val="009F6775"/>
    <w:rsid w:val="00A00831"/>
    <w:rsid w:val="00A56A16"/>
    <w:rsid w:val="00A82D34"/>
    <w:rsid w:val="00AB1BED"/>
    <w:rsid w:val="00AF2113"/>
    <w:rsid w:val="00B6109B"/>
    <w:rsid w:val="00BC1F05"/>
    <w:rsid w:val="00D81849"/>
    <w:rsid w:val="00E019DA"/>
    <w:rsid w:val="00F0720A"/>
    <w:rsid w:val="00F65133"/>
    <w:rsid w:val="00FA66D0"/>
    <w:rsid w:val="00FE4E3A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88541"/>
  <w15:docId w15:val="{AA2BC4A9-0E9E-4830-BCA2-6F447008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outlineLvl w:val="0"/>
    </w:pPr>
    <w:rPr>
      <w:b/>
      <w:color w:val="FF0000"/>
    </w:rPr>
  </w:style>
  <w:style w:type="paragraph" w:styleId="Titre2">
    <w:name w:val="heading 2"/>
    <w:basedOn w:val="Standard"/>
    <w:next w:val="Standard"/>
    <w:pPr>
      <w:keepNext/>
      <w:outlineLvl w:val="1"/>
    </w:pPr>
    <w:rPr>
      <w:sz w:val="40"/>
    </w:rPr>
  </w:style>
  <w:style w:type="paragraph" w:styleId="Titre3">
    <w:name w:val="heading 3"/>
    <w:basedOn w:val="Standard"/>
    <w:next w:val="Standard"/>
    <w:pPr>
      <w:keepNext/>
      <w:ind w:left="360"/>
      <w:outlineLvl w:val="2"/>
    </w:pPr>
    <w:rPr>
      <w:b/>
      <w:u w:val="single"/>
    </w:rPr>
  </w:style>
  <w:style w:type="paragraph" w:styleId="Titre4">
    <w:name w:val="heading 4"/>
    <w:basedOn w:val="Standard"/>
    <w:next w:val="Standard"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pip">
    <w:name w:val="spip"/>
    <w:basedOn w:val="Standard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customStyle="1" w:styleId="Textbodyindent">
    <w:name w:val="Text body indent"/>
    <w:basedOn w:val="Standard"/>
    <w:pPr>
      <w:ind w:left="360"/>
    </w:pPr>
    <w:rPr>
      <w:bCs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Standard"/>
    <w:pPr>
      <w:ind w:left="360"/>
    </w:pPr>
    <w:rPr>
      <w:color w:val="993300"/>
    </w:r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Explorateurdedocument">
    <w:name w:val="Explorateur de document"/>
    <w:basedOn w:val="Standard"/>
    <w:rPr>
      <w:rFonts w:ascii="Tahoma" w:eastAsia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Verdana" w:eastAsia="Times New Roman" w:hAnsi="Verdana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Arial" w:eastAsia="Times New Roman" w:hAnsi="Arial" w:cs="Aria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Tahoma" w:eastAsia="Times New Roman" w:hAnsi="Tahoma" w:cs="Tahoma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Tahoma" w:eastAsia="Times New Roman" w:hAnsi="Tahoma" w:cs="Tahoma"/>
      <w:sz w:val="16"/>
      <w:szCs w:val="16"/>
    </w:rPr>
  </w:style>
  <w:style w:type="character" w:customStyle="1" w:styleId="WW8Num11z1">
    <w:name w:val="WW8Num11z1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Tahoma" w:eastAsia="Times New Roman" w:hAnsi="Tahoma" w:cs="Tahoma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Arial" w:eastAsia="Times New Roman" w:hAnsi="Arial" w:cs="Aria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</w:rPr>
  </w:style>
  <w:style w:type="character" w:customStyle="1" w:styleId="WW8Num15z1">
    <w:name w:val="WW8Num15z1"/>
    <w:rPr>
      <w:rFonts w:ascii="Courier New" w:eastAsia="Courier New" w:hAnsi="Courier New" w:cs="Courier New"/>
      <w:sz w:val="16"/>
      <w:szCs w:val="16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Verdana" w:eastAsia="Times New Roman" w:hAnsi="Verdana"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3">
    <w:name w:val="WW8Num3"/>
    <w:basedOn w:val="Aucuneliste"/>
    <w:pPr>
      <w:numPr>
        <w:numId w:val="3"/>
      </w:numPr>
    </w:pPr>
  </w:style>
  <w:style w:type="numbering" w:customStyle="1" w:styleId="WW8Num4">
    <w:name w:val="WW8Num4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6">
    <w:name w:val="WW8Num6"/>
    <w:basedOn w:val="Aucuneliste"/>
    <w:pPr>
      <w:numPr>
        <w:numId w:val="6"/>
      </w:numPr>
    </w:pPr>
  </w:style>
  <w:style w:type="numbering" w:customStyle="1" w:styleId="WW8Num7">
    <w:name w:val="WW8Num7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9">
    <w:name w:val="WW8Num9"/>
    <w:basedOn w:val="Aucuneliste"/>
    <w:pPr>
      <w:numPr>
        <w:numId w:val="9"/>
      </w:numPr>
    </w:pPr>
  </w:style>
  <w:style w:type="numbering" w:customStyle="1" w:styleId="WW8Num10">
    <w:name w:val="WW8Num10"/>
    <w:basedOn w:val="Aucuneliste"/>
    <w:pPr>
      <w:numPr>
        <w:numId w:val="10"/>
      </w:numPr>
    </w:pPr>
  </w:style>
  <w:style w:type="numbering" w:customStyle="1" w:styleId="WW8Num11">
    <w:name w:val="WW8Num11"/>
    <w:basedOn w:val="Aucuneliste"/>
    <w:pPr>
      <w:numPr>
        <w:numId w:val="11"/>
      </w:numPr>
    </w:pPr>
  </w:style>
  <w:style w:type="numbering" w:customStyle="1" w:styleId="WW8Num12">
    <w:name w:val="WW8Num12"/>
    <w:basedOn w:val="Aucuneliste"/>
    <w:pPr>
      <w:numPr>
        <w:numId w:val="12"/>
      </w:numPr>
    </w:pPr>
  </w:style>
  <w:style w:type="numbering" w:customStyle="1" w:styleId="WW8Num13">
    <w:name w:val="WW8Num13"/>
    <w:basedOn w:val="Aucuneliste"/>
    <w:pPr>
      <w:numPr>
        <w:numId w:val="13"/>
      </w:numPr>
    </w:pPr>
  </w:style>
  <w:style w:type="numbering" w:customStyle="1" w:styleId="WW8Num14">
    <w:name w:val="WW8Num14"/>
    <w:basedOn w:val="Aucuneliste"/>
    <w:pPr>
      <w:numPr>
        <w:numId w:val="14"/>
      </w:numPr>
    </w:pPr>
  </w:style>
  <w:style w:type="numbering" w:customStyle="1" w:styleId="WW8Num15">
    <w:name w:val="WW8Num15"/>
    <w:basedOn w:val="Aucuneliste"/>
    <w:pPr>
      <w:numPr>
        <w:numId w:val="15"/>
      </w:numPr>
    </w:pPr>
  </w:style>
  <w:style w:type="numbering" w:customStyle="1" w:styleId="WW8Num16">
    <w:name w:val="WW8Num16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18">
    <w:name w:val="WW8Num18"/>
    <w:basedOn w:val="Aucuneliste"/>
    <w:pPr>
      <w:numPr>
        <w:numId w:val="18"/>
      </w:numPr>
    </w:pPr>
  </w:style>
  <w:style w:type="numbering" w:customStyle="1" w:styleId="WW8Num19">
    <w:name w:val="WW8Num19"/>
    <w:basedOn w:val="Aucuneliste"/>
    <w:pPr>
      <w:numPr>
        <w:numId w:val="19"/>
      </w:numPr>
    </w:pPr>
  </w:style>
  <w:style w:type="numbering" w:customStyle="1" w:styleId="WW8Num20">
    <w:name w:val="WW8Num20"/>
    <w:basedOn w:val="Aucuneliste"/>
    <w:pPr>
      <w:numPr>
        <w:numId w:val="20"/>
      </w:numPr>
    </w:pPr>
  </w:style>
  <w:style w:type="numbering" w:customStyle="1" w:styleId="WW8Num21">
    <w:name w:val="WW8Num21"/>
    <w:basedOn w:val="Aucuneliste"/>
    <w:pPr>
      <w:numPr>
        <w:numId w:val="21"/>
      </w:numPr>
    </w:pPr>
  </w:style>
  <w:style w:type="paragraph" w:customStyle="1" w:styleId="Car">
    <w:name w:val="Car"/>
    <w:basedOn w:val="Normal"/>
    <w:rsid w:val="00FE4E3A"/>
    <w:pPr>
      <w:widowControl/>
      <w:suppressAutoHyphens w:val="0"/>
      <w:autoSpaceDN/>
      <w:spacing w:after="160" w:line="240" w:lineRule="exact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D442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ACCORD CADRE</vt:lpstr>
    </vt:vector>
  </TitlesOfParts>
  <Company>Ministère des Armées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CADRE</dc:title>
  <dc:creator>NAFIN014</dc:creator>
  <cp:lastModifiedBy>FELIXINE Jacqueline ADJ ADM PAL 1CL AE</cp:lastModifiedBy>
  <cp:revision>26</cp:revision>
  <cp:lastPrinted>2019-08-27T16:13:00Z</cp:lastPrinted>
  <dcterms:created xsi:type="dcterms:W3CDTF">2020-01-16T16:36:00Z</dcterms:created>
  <dcterms:modified xsi:type="dcterms:W3CDTF">2025-06-11T16:41:00Z</dcterms:modified>
</cp:coreProperties>
</file>